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C0CE1D" w14:textId="77777777" w:rsidR="00F77FD6" w:rsidRDefault="00F77FD6" w:rsidP="00F77FD6">
      <w:pPr>
        <w:spacing w:line="480" w:lineRule="auto"/>
        <w:jc w:val="center"/>
        <w:rPr>
          <w:rFonts w:ascii="Times New Roman" w:hAnsi="Times New Roman" w:cs="Times New Roman"/>
          <w:bCs/>
          <w:sz w:val="24"/>
          <w:szCs w:val="24"/>
          <w:lang w:val="en-US"/>
        </w:rPr>
      </w:pPr>
    </w:p>
    <w:p w14:paraId="75E2A336" w14:textId="77777777" w:rsidR="00F77FD6" w:rsidRDefault="00F77FD6" w:rsidP="00F77FD6">
      <w:pPr>
        <w:spacing w:line="480" w:lineRule="auto"/>
        <w:jc w:val="center"/>
        <w:rPr>
          <w:rFonts w:ascii="Times New Roman" w:hAnsi="Times New Roman" w:cs="Times New Roman"/>
          <w:bCs/>
          <w:sz w:val="24"/>
          <w:szCs w:val="24"/>
          <w:lang w:val="en-US"/>
        </w:rPr>
      </w:pPr>
    </w:p>
    <w:p w14:paraId="1226B900" w14:textId="77156D69" w:rsidR="00F77FD6" w:rsidRDefault="00F77FD6" w:rsidP="00F77FD6">
      <w:pPr>
        <w:spacing w:line="480" w:lineRule="auto"/>
        <w:jc w:val="center"/>
        <w:rPr>
          <w:rFonts w:ascii="Times New Roman" w:hAnsi="Times New Roman" w:cs="Times New Roman"/>
          <w:bCs/>
          <w:sz w:val="24"/>
          <w:szCs w:val="24"/>
          <w:lang w:val="en-US"/>
        </w:rPr>
      </w:pPr>
    </w:p>
    <w:p w14:paraId="0C134518" w14:textId="77777777" w:rsidR="00F77FD6" w:rsidRDefault="00F77FD6" w:rsidP="00F77FD6">
      <w:pPr>
        <w:spacing w:line="480" w:lineRule="auto"/>
        <w:jc w:val="center"/>
        <w:rPr>
          <w:rFonts w:ascii="Times New Roman" w:hAnsi="Times New Roman" w:cs="Times New Roman"/>
          <w:bCs/>
          <w:sz w:val="24"/>
          <w:szCs w:val="24"/>
          <w:lang w:val="en-US"/>
        </w:rPr>
      </w:pPr>
    </w:p>
    <w:p w14:paraId="31D6E4A3" w14:textId="77777777" w:rsidR="00F77FD6" w:rsidRDefault="00F77FD6" w:rsidP="00F77FD6">
      <w:pPr>
        <w:spacing w:line="480" w:lineRule="auto"/>
        <w:jc w:val="center"/>
        <w:rPr>
          <w:rFonts w:ascii="Times New Roman" w:hAnsi="Times New Roman" w:cs="Times New Roman"/>
          <w:bCs/>
          <w:sz w:val="24"/>
          <w:szCs w:val="24"/>
          <w:lang w:val="en-US"/>
        </w:rPr>
      </w:pPr>
    </w:p>
    <w:p w14:paraId="51F38BF6" w14:textId="50C5C7C4" w:rsidR="009926E6" w:rsidRDefault="00CD20AA" w:rsidP="00F77FD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 xml:space="preserve">Topic 1: </w:t>
      </w:r>
      <w:r w:rsidR="009926E6" w:rsidRPr="009926E6">
        <w:rPr>
          <w:rFonts w:ascii="Times New Roman" w:hAnsi="Times New Roman" w:cs="Times New Roman"/>
          <w:bCs/>
          <w:sz w:val="24"/>
          <w:szCs w:val="24"/>
          <w:lang w:val="en-US"/>
        </w:rPr>
        <w:t>Deductive Vs</w:t>
      </w:r>
      <w:r w:rsidR="00665C16">
        <w:rPr>
          <w:rFonts w:ascii="Times New Roman" w:hAnsi="Times New Roman" w:cs="Times New Roman"/>
          <w:bCs/>
          <w:sz w:val="24"/>
          <w:szCs w:val="24"/>
          <w:lang w:val="en-US"/>
        </w:rPr>
        <w:t>.</w:t>
      </w:r>
      <w:r w:rsidR="009926E6" w:rsidRPr="009926E6">
        <w:rPr>
          <w:rFonts w:ascii="Times New Roman" w:hAnsi="Times New Roman" w:cs="Times New Roman"/>
          <w:bCs/>
          <w:sz w:val="24"/>
          <w:szCs w:val="24"/>
          <w:lang w:val="en-US"/>
        </w:rPr>
        <w:t xml:space="preserve"> Inductive Criminal profiling and Locard</w:t>
      </w:r>
      <w:r w:rsidR="004B4BC1">
        <w:rPr>
          <w:rFonts w:ascii="Times New Roman" w:hAnsi="Times New Roman" w:cs="Times New Roman"/>
          <w:bCs/>
          <w:sz w:val="24"/>
          <w:szCs w:val="24"/>
          <w:lang w:val="en-US"/>
        </w:rPr>
        <w:t>’</w:t>
      </w:r>
      <w:r w:rsidR="009926E6" w:rsidRPr="009926E6">
        <w:rPr>
          <w:rFonts w:ascii="Times New Roman" w:hAnsi="Times New Roman" w:cs="Times New Roman"/>
          <w:bCs/>
          <w:sz w:val="24"/>
          <w:szCs w:val="24"/>
          <w:lang w:val="en-US"/>
        </w:rPr>
        <w:t>s Principle</w:t>
      </w:r>
    </w:p>
    <w:p w14:paraId="712377DC" w14:textId="05E54D3A" w:rsidR="00665C16" w:rsidRDefault="00665C16" w:rsidP="00F77FD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76790DB4" w14:textId="689FE1B7" w:rsidR="00665C16" w:rsidRDefault="00665C16" w:rsidP="00F77FD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129DD8AA" w14:textId="77777777" w:rsidR="00F77FD6" w:rsidRDefault="00F77FD6" w:rsidP="00F77FD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1C70578" w14:textId="2B541B57" w:rsidR="00E41EFB" w:rsidRDefault="00CD20AA" w:rsidP="00F77FD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 xml:space="preserve">Topic 1: </w:t>
      </w:r>
      <w:r w:rsidR="00665C16" w:rsidRPr="00665C16">
        <w:rPr>
          <w:rFonts w:ascii="Times New Roman" w:hAnsi="Times New Roman" w:cs="Times New Roman"/>
          <w:bCs/>
          <w:sz w:val="24"/>
          <w:szCs w:val="24"/>
          <w:lang w:val="en-US"/>
        </w:rPr>
        <w:t>Deductive Vs. Inductive Criminal profiling and Locard</w:t>
      </w:r>
      <w:r w:rsidR="004B4BC1">
        <w:rPr>
          <w:rFonts w:ascii="Times New Roman" w:hAnsi="Times New Roman" w:cs="Times New Roman"/>
          <w:bCs/>
          <w:sz w:val="24"/>
          <w:szCs w:val="24"/>
          <w:lang w:val="en-US"/>
        </w:rPr>
        <w:t>’</w:t>
      </w:r>
      <w:r w:rsidR="00665C16" w:rsidRPr="00665C16">
        <w:rPr>
          <w:rFonts w:ascii="Times New Roman" w:hAnsi="Times New Roman" w:cs="Times New Roman"/>
          <w:bCs/>
          <w:sz w:val="24"/>
          <w:szCs w:val="24"/>
          <w:lang w:val="en-US"/>
        </w:rPr>
        <w:t>s Principle</w:t>
      </w:r>
    </w:p>
    <w:p w14:paraId="50439B90" w14:textId="2E3D6DB0" w:rsidR="00E41EFB" w:rsidRDefault="00E41EFB" w:rsidP="00F77FD6">
      <w:pPr>
        <w:spacing w:line="480" w:lineRule="auto"/>
        <w:jc w:val="center"/>
        <w:rPr>
          <w:rFonts w:ascii="Times New Roman" w:hAnsi="Times New Roman" w:cs="Times New Roman"/>
          <w:bCs/>
          <w:sz w:val="24"/>
          <w:szCs w:val="24"/>
          <w:lang w:val="en-US"/>
        </w:rPr>
      </w:pPr>
      <w:r w:rsidRPr="00E41EFB">
        <w:rPr>
          <w:rFonts w:ascii="Times New Roman" w:hAnsi="Times New Roman" w:cs="Times New Roman"/>
          <w:bCs/>
          <w:sz w:val="24"/>
          <w:szCs w:val="24"/>
          <w:lang w:val="en-US"/>
        </w:rPr>
        <w:t>Deductive Vs. Inductive Criminal profiling</w:t>
      </w:r>
    </w:p>
    <w:p w14:paraId="4F6248C2" w14:textId="77777777" w:rsidR="00E41EFB" w:rsidRDefault="009926E6" w:rsidP="00F77FD6">
      <w:pPr>
        <w:spacing w:line="480" w:lineRule="auto"/>
        <w:ind w:firstLine="720"/>
        <w:rPr>
          <w:rFonts w:ascii="Times New Roman" w:hAnsi="Times New Roman" w:cs="Times New Roman"/>
          <w:sz w:val="24"/>
          <w:szCs w:val="24"/>
          <w:lang w:val="en-US"/>
        </w:rPr>
      </w:pPr>
      <w:r w:rsidRPr="009926E6">
        <w:rPr>
          <w:rFonts w:ascii="Times New Roman" w:hAnsi="Times New Roman" w:cs="Times New Roman"/>
          <w:sz w:val="24"/>
          <w:szCs w:val="24"/>
          <w:lang w:val="en-US"/>
        </w:rPr>
        <w:t>Criminal profiling is a component of investigation that involves the deduction of a criminal’s characteristics based on their behavioral aspects (Petherick &amp; Brooks, 2020). Various approaches can be used in criminal profiling, two of which include the inductive and deductive approaches. While inductive profiling entails the use of probabilities through past evidence or statistics related to the case, deductive profiling uses logic to examine the evidence in a case and make several inferences (Petherick &amp; Brooks, 2020). As such, knowledge used in inductive profiling is obtained from previous evidence-based studies, the skills and knowledge gained by the profiler over time, social assumptions, and criminal theories (Petherick &amp; Brooks, 2020). On the other hand, deductive profiling involves the examination of the physical evidence at a crime scene, after which sound reasoning and critical thinking skills are employed in making various logical deductions (Petherick &amp; Brooks, 2020). Therefore, the rationality of the deductions made through inductive profiling is based on the validity of the knowledge or studies used, while the conclusions in deductive profiling are based on the precision of the evidence analysis and the soundness of the logical arguments made in reaching those conclusions (Petherick &amp; Brooks, 2020).</w:t>
      </w:r>
    </w:p>
    <w:p w14:paraId="47354E49" w14:textId="77777777" w:rsidR="00E41EFB" w:rsidRPr="00E41EFB" w:rsidRDefault="00E41EFB" w:rsidP="00F77FD6">
      <w:pPr>
        <w:spacing w:line="480" w:lineRule="auto"/>
        <w:jc w:val="center"/>
        <w:rPr>
          <w:rFonts w:ascii="Times New Roman" w:hAnsi="Times New Roman" w:cs="Times New Roman"/>
          <w:b/>
          <w:bCs/>
          <w:sz w:val="24"/>
          <w:szCs w:val="24"/>
          <w:lang w:val="en-US"/>
        </w:rPr>
      </w:pPr>
      <w:r w:rsidRPr="00E41EFB">
        <w:rPr>
          <w:rFonts w:ascii="Times New Roman" w:hAnsi="Times New Roman" w:cs="Times New Roman"/>
          <w:b/>
          <w:bCs/>
          <w:sz w:val="24"/>
          <w:szCs w:val="24"/>
          <w:lang w:val="en-US"/>
        </w:rPr>
        <w:t xml:space="preserve">The </w:t>
      </w:r>
      <w:r w:rsidR="009926E6" w:rsidRPr="00E41EFB">
        <w:rPr>
          <w:rFonts w:ascii="Times New Roman" w:hAnsi="Times New Roman" w:cs="Times New Roman"/>
          <w:b/>
          <w:bCs/>
          <w:sz w:val="24"/>
          <w:szCs w:val="24"/>
          <w:lang w:val="en-US"/>
        </w:rPr>
        <w:t>Role of Locard’s Principle in Criminal Profiling</w:t>
      </w:r>
    </w:p>
    <w:p w14:paraId="0A28FE2A" w14:textId="6D2F45CD" w:rsidR="00E41EFB" w:rsidRDefault="009926E6" w:rsidP="00F77FD6">
      <w:pPr>
        <w:spacing w:line="480" w:lineRule="auto"/>
        <w:ind w:firstLine="720"/>
        <w:rPr>
          <w:rFonts w:ascii="Times New Roman" w:hAnsi="Times New Roman" w:cs="Times New Roman"/>
          <w:sz w:val="24"/>
          <w:szCs w:val="24"/>
          <w:lang w:val="en-US"/>
        </w:rPr>
      </w:pPr>
      <w:r w:rsidRPr="009926E6">
        <w:rPr>
          <w:rFonts w:ascii="Times New Roman" w:hAnsi="Times New Roman" w:cs="Times New Roman"/>
          <w:sz w:val="24"/>
          <w:szCs w:val="24"/>
          <w:lang w:val="en-US"/>
        </w:rPr>
        <w:t xml:space="preserve">Locard’s </w:t>
      </w:r>
      <w:r w:rsidR="004B4BC1">
        <w:rPr>
          <w:rFonts w:ascii="Times New Roman" w:hAnsi="Times New Roman" w:cs="Times New Roman"/>
          <w:sz w:val="24"/>
          <w:szCs w:val="24"/>
          <w:lang w:val="en-US"/>
        </w:rPr>
        <w:t>p</w:t>
      </w:r>
      <w:r w:rsidRPr="009926E6">
        <w:rPr>
          <w:rFonts w:ascii="Times New Roman" w:hAnsi="Times New Roman" w:cs="Times New Roman"/>
          <w:sz w:val="24"/>
          <w:szCs w:val="24"/>
          <w:lang w:val="en-US"/>
        </w:rPr>
        <w:t>rinciple contributes to criminal profiling by giving a criminal profiler the option of using trace material left behind by criminals to infer some of their characteristics. Edmond Locard examined the connections in different arrangements and postulated that all contact leaves behind material that can be useful for profiling (de Wet et al</w:t>
      </w:r>
      <w:r w:rsidR="004B4BC1">
        <w:rPr>
          <w:rFonts w:ascii="Times New Roman" w:hAnsi="Times New Roman" w:cs="Times New Roman"/>
          <w:sz w:val="24"/>
          <w:szCs w:val="24"/>
          <w:lang w:val="en-US"/>
        </w:rPr>
        <w:t>.</w:t>
      </w:r>
      <w:r w:rsidRPr="009926E6">
        <w:rPr>
          <w:rFonts w:ascii="Times New Roman" w:hAnsi="Times New Roman" w:cs="Times New Roman"/>
          <w:sz w:val="24"/>
          <w:szCs w:val="24"/>
          <w:lang w:val="en-US"/>
        </w:rPr>
        <w:t xml:space="preserve">, 2011). Thus, Locard’s principle of exchange implies that the type of criminal activity determines the nature of the material that is left behind by the criminal and that these materials can then be </w:t>
      </w:r>
      <w:r w:rsidRPr="009926E6">
        <w:rPr>
          <w:rFonts w:ascii="Times New Roman" w:hAnsi="Times New Roman" w:cs="Times New Roman"/>
          <w:sz w:val="24"/>
          <w:szCs w:val="24"/>
          <w:lang w:val="en-US"/>
        </w:rPr>
        <w:lastRenderedPageBreak/>
        <w:t>identified, collected, and examined to help recreate what occurred at a crime scene (Roux et al</w:t>
      </w:r>
      <w:r w:rsidR="004B4BC1">
        <w:rPr>
          <w:rFonts w:ascii="Times New Roman" w:hAnsi="Times New Roman" w:cs="Times New Roman"/>
          <w:sz w:val="24"/>
          <w:szCs w:val="24"/>
          <w:lang w:val="en-US"/>
        </w:rPr>
        <w:t>.</w:t>
      </w:r>
      <w:r w:rsidRPr="009926E6">
        <w:rPr>
          <w:rFonts w:ascii="Times New Roman" w:hAnsi="Times New Roman" w:cs="Times New Roman"/>
          <w:sz w:val="24"/>
          <w:szCs w:val="24"/>
          <w:lang w:val="en-US"/>
        </w:rPr>
        <w:t>, 2015). Subsequently, a criminal profiler can translate the activities which occurred at a crime scene concerning what they imply regarding the criminal</w:t>
      </w:r>
      <w:r w:rsidR="004B4BC1">
        <w:rPr>
          <w:rFonts w:ascii="Times New Roman" w:hAnsi="Times New Roman" w:cs="Times New Roman"/>
          <w:sz w:val="24"/>
          <w:szCs w:val="24"/>
          <w:lang w:val="en-US"/>
        </w:rPr>
        <w:t>’</w:t>
      </w:r>
      <w:r w:rsidRPr="009926E6">
        <w:rPr>
          <w:rFonts w:ascii="Times New Roman" w:hAnsi="Times New Roman" w:cs="Times New Roman"/>
          <w:sz w:val="24"/>
          <w:szCs w:val="24"/>
          <w:lang w:val="en-US"/>
        </w:rPr>
        <w:t>s characteristics. Among many other materials that can be found in a crime scene, a criminal’s biological material including fingerprints, body tissues and fluids such as blood or semen, can be taken for forensic laboratory analysis, where genetic matter (DNA) can be successfully extracted and analyzed to help reconstitute the criminal’s biological characteristics (de Wet et al</w:t>
      </w:r>
      <w:r w:rsidR="004B4BC1">
        <w:rPr>
          <w:rFonts w:ascii="Times New Roman" w:hAnsi="Times New Roman" w:cs="Times New Roman"/>
          <w:sz w:val="24"/>
          <w:szCs w:val="24"/>
          <w:lang w:val="en-US"/>
        </w:rPr>
        <w:t>.</w:t>
      </w:r>
      <w:r w:rsidRPr="009926E6">
        <w:rPr>
          <w:rFonts w:ascii="Times New Roman" w:hAnsi="Times New Roman" w:cs="Times New Roman"/>
          <w:sz w:val="24"/>
          <w:szCs w:val="24"/>
          <w:lang w:val="en-US"/>
        </w:rPr>
        <w:t>, 2011). Consequently, Locard’s principle provides a criminal profiler with a gateway to the deduction of several criminal characteristics from the material he/she left behind at a crime scene.</w:t>
      </w:r>
    </w:p>
    <w:p w14:paraId="7104FCAC" w14:textId="2E63CF47" w:rsidR="00E41EFB" w:rsidRDefault="009926E6" w:rsidP="00F77FD6">
      <w:pPr>
        <w:spacing w:line="480" w:lineRule="auto"/>
        <w:ind w:firstLine="720"/>
        <w:rPr>
          <w:rFonts w:ascii="Times New Roman" w:hAnsi="Times New Roman" w:cs="Times New Roman"/>
          <w:sz w:val="24"/>
          <w:szCs w:val="24"/>
          <w:lang w:val="en-US"/>
        </w:rPr>
      </w:pPr>
      <w:r w:rsidRPr="009926E6">
        <w:rPr>
          <w:rFonts w:ascii="Times New Roman" w:hAnsi="Times New Roman" w:cs="Times New Roman"/>
          <w:sz w:val="24"/>
          <w:szCs w:val="24"/>
          <w:lang w:val="en-US"/>
        </w:rPr>
        <w:t>Locard’s principle is important in the investigation of serial crimes such as homicide, sadistic sex crimes, and arson. The nature of these crimes implies that valuable biological and other trace materials can be left behind which can be analyzed forensically as part of the investigation. In homicides, for instance, the murder weapons</w:t>
      </w:r>
      <w:r w:rsidR="004B4BC1">
        <w:rPr>
          <w:rFonts w:ascii="Times New Roman" w:hAnsi="Times New Roman" w:cs="Times New Roman"/>
          <w:sz w:val="24"/>
          <w:szCs w:val="24"/>
          <w:lang w:val="en-US"/>
        </w:rPr>
        <w:t>,</w:t>
      </w:r>
      <w:r w:rsidRPr="009926E6">
        <w:rPr>
          <w:rFonts w:ascii="Times New Roman" w:hAnsi="Times New Roman" w:cs="Times New Roman"/>
          <w:sz w:val="24"/>
          <w:szCs w:val="24"/>
          <w:lang w:val="en-US"/>
        </w:rPr>
        <w:t xml:space="preserve"> if present</w:t>
      </w:r>
      <w:r w:rsidR="004B4BC1">
        <w:rPr>
          <w:rFonts w:ascii="Times New Roman" w:hAnsi="Times New Roman" w:cs="Times New Roman"/>
          <w:sz w:val="24"/>
          <w:szCs w:val="24"/>
          <w:lang w:val="en-US"/>
        </w:rPr>
        <w:t>,</w:t>
      </w:r>
      <w:r w:rsidRPr="009926E6">
        <w:rPr>
          <w:rFonts w:ascii="Times New Roman" w:hAnsi="Times New Roman" w:cs="Times New Roman"/>
          <w:sz w:val="24"/>
          <w:szCs w:val="24"/>
          <w:lang w:val="en-US"/>
        </w:rPr>
        <w:t xml:space="preserve"> can be inspected for fingerprints or the victim can be examined for marks or body tissues left if there was any contact with the criminal. Sadistic sex crime scenes may have the criminal’s body fluids such as semen. In arson, among other materials that can be analyzed as evidence from the crime scene, the fingerprints left behind are usually insulated from damage by heat by a layer of soot formed during the combustion process; hence they can be easily extracted for forensic analysis (O</w:t>
      </w:r>
      <w:r w:rsidR="004B4BC1">
        <w:rPr>
          <w:rFonts w:ascii="Times New Roman" w:hAnsi="Times New Roman" w:cs="Times New Roman"/>
          <w:sz w:val="24"/>
          <w:szCs w:val="24"/>
          <w:lang w:val="en-US"/>
        </w:rPr>
        <w:t>’</w:t>
      </w:r>
      <w:r w:rsidRPr="009926E6">
        <w:rPr>
          <w:rFonts w:ascii="Times New Roman" w:hAnsi="Times New Roman" w:cs="Times New Roman"/>
          <w:sz w:val="24"/>
          <w:szCs w:val="24"/>
          <w:lang w:val="en-US"/>
        </w:rPr>
        <w:t>Hagan &amp; Banham, 2018). As part of the investigation for these crimes, the material collected from crime scenes such as fingerprints or DNA samples can be examined to create the criminal’s profile or that of any other person connected to the crime scene, since both DNA and fingerprints are unique to every individual (de Wet et al</w:t>
      </w:r>
      <w:r w:rsidR="00BB188D">
        <w:rPr>
          <w:rFonts w:ascii="Times New Roman" w:hAnsi="Times New Roman" w:cs="Times New Roman"/>
          <w:sz w:val="24"/>
          <w:szCs w:val="24"/>
          <w:lang w:val="en-US"/>
        </w:rPr>
        <w:t>.</w:t>
      </w:r>
      <w:r w:rsidRPr="009926E6">
        <w:rPr>
          <w:rFonts w:ascii="Times New Roman" w:hAnsi="Times New Roman" w:cs="Times New Roman"/>
          <w:sz w:val="24"/>
          <w:szCs w:val="24"/>
          <w:lang w:val="en-US"/>
        </w:rPr>
        <w:t>, 2011). As such, forensic laboratory analysis is aimed at identifying the individual who deposited certain materials at a crime scene (de Wet et al</w:t>
      </w:r>
      <w:r w:rsidR="00BB188D">
        <w:rPr>
          <w:rFonts w:ascii="Times New Roman" w:hAnsi="Times New Roman" w:cs="Times New Roman"/>
          <w:sz w:val="24"/>
          <w:szCs w:val="24"/>
          <w:lang w:val="en-US"/>
        </w:rPr>
        <w:t>.</w:t>
      </w:r>
      <w:r w:rsidRPr="009926E6">
        <w:rPr>
          <w:rFonts w:ascii="Times New Roman" w:hAnsi="Times New Roman" w:cs="Times New Roman"/>
          <w:sz w:val="24"/>
          <w:szCs w:val="24"/>
          <w:lang w:val="en-US"/>
        </w:rPr>
        <w:t xml:space="preserve">, 2011). Subsequently, the samples collected at a crime scene whose sources are unknown are compared to samples whose sources are known </w:t>
      </w:r>
      <w:r w:rsidRPr="009926E6">
        <w:rPr>
          <w:rFonts w:ascii="Times New Roman" w:hAnsi="Times New Roman" w:cs="Times New Roman"/>
          <w:sz w:val="24"/>
          <w:szCs w:val="24"/>
          <w:lang w:val="en-US"/>
        </w:rPr>
        <w:lastRenderedPageBreak/>
        <w:t>and stored in various databases. If the samples match, the criminal or any other individual involved in a crime scene can be identified. Therefore, Locard’s principle can be useful for investigations of serial homicides, sadistic sex crimes, and arson since the material left behind through contact by individuals involved at a crime scene can be forensically examined to create profiles which are then compared to known criminal profiles for identification by elimination method.</w:t>
      </w:r>
    </w:p>
    <w:p w14:paraId="190537CF" w14:textId="77777777" w:rsidR="00272F39" w:rsidRDefault="00272F39" w:rsidP="00F77FD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0E50E0F3" w14:textId="14CD09FF" w:rsidR="00E41EFB" w:rsidRDefault="009926E6" w:rsidP="00F77FD6">
      <w:pPr>
        <w:spacing w:line="480" w:lineRule="auto"/>
        <w:jc w:val="center"/>
        <w:rPr>
          <w:rFonts w:ascii="Times New Roman" w:hAnsi="Times New Roman" w:cs="Times New Roman"/>
          <w:bCs/>
          <w:sz w:val="24"/>
          <w:szCs w:val="24"/>
          <w:lang w:val="en-US"/>
        </w:rPr>
      </w:pPr>
      <w:r w:rsidRPr="00E41EFB">
        <w:rPr>
          <w:rFonts w:ascii="Times New Roman" w:hAnsi="Times New Roman" w:cs="Times New Roman"/>
          <w:bCs/>
          <w:sz w:val="24"/>
          <w:szCs w:val="24"/>
          <w:lang w:val="en-US"/>
        </w:rPr>
        <w:lastRenderedPageBreak/>
        <w:t>References</w:t>
      </w:r>
    </w:p>
    <w:p w14:paraId="3E19B15C" w14:textId="77777777" w:rsidR="00E41EFB" w:rsidRDefault="00E41EFB" w:rsidP="00F77FD6">
      <w:pPr>
        <w:spacing w:line="480" w:lineRule="auto"/>
        <w:ind w:left="720" w:hanging="720"/>
        <w:rPr>
          <w:rFonts w:ascii="Times New Roman" w:hAnsi="Times New Roman" w:cs="Times New Roman"/>
          <w:sz w:val="24"/>
          <w:szCs w:val="24"/>
          <w:lang w:val="en-US"/>
        </w:rPr>
      </w:pPr>
      <w:r w:rsidRPr="009926E6">
        <w:rPr>
          <w:rFonts w:ascii="Times New Roman" w:hAnsi="Times New Roman" w:cs="Times New Roman"/>
          <w:sz w:val="24"/>
          <w:szCs w:val="24"/>
          <w:lang w:val="en-US"/>
        </w:rPr>
        <w:t>de Wet, S., Oosthuizen, H., &amp; Visser, J. (2011). DNA profiling and the law in South Africa. </w:t>
      </w:r>
      <w:r w:rsidRPr="009926E6">
        <w:rPr>
          <w:rFonts w:ascii="Times New Roman" w:hAnsi="Times New Roman" w:cs="Times New Roman"/>
          <w:i/>
          <w:iCs/>
          <w:sz w:val="24"/>
          <w:szCs w:val="24"/>
          <w:lang w:val="en-US"/>
        </w:rPr>
        <w:t>PER: Potchefstroomse Elektroniese Regsblad</w:t>
      </w:r>
      <w:r w:rsidRPr="009926E6">
        <w:rPr>
          <w:rFonts w:ascii="Times New Roman" w:hAnsi="Times New Roman" w:cs="Times New Roman"/>
          <w:sz w:val="24"/>
          <w:szCs w:val="24"/>
          <w:lang w:val="en-US"/>
        </w:rPr>
        <w:t>, </w:t>
      </w:r>
      <w:r w:rsidRPr="009926E6">
        <w:rPr>
          <w:rFonts w:ascii="Times New Roman" w:hAnsi="Times New Roman" w:cs="Times New Roman"/>
          <w:i/>
          <w:iCs/>
          <w:sz w:val="24"/>
          <w:szCs w:val="24"/>
          <w:lang w:val="en-US"/>
        </w:rPr>
        <w:t>14</w:t>
      </w:r>
      <w:r w:rsidRPr="009926E6">
        <w:rPr>
          <w:rFonts w:ascii="Times New Roman" w:hAnsi="Times New Roman" w:cs="Times New Roman"/>
          <w:sz w:val="24"/>
          <w:szCs w:val="24"/>
          <w:lang w:val="en-US"/>
        </w:rPr>
        <w:t>(4), 171-207.</w:t>
      </w:r>
    </w:p>
    <w:p w14:paraId="7AB5E551" w14:textId="6657C3C2" w:rsidR="00E41EFB" w:rsidRDefault="00E41EFB" w:rsidP="00F77FD6">
      <w:pPr>
        <w:spacing w:line="480" w:lineRule="auto"/>
        <w:ind w:left="720" w:hanging="720"/>
        <w:rPr>
          <w:rFonts w:ascii="Times New Roman" w:hAnsi="Times New Roman" w:cs="Times New Roman"/>
          <w:sz w:val="24"/>
          <w:szCs w:val="24"/>
          <w:lang w:val="en-US"/>
        </w:rPr>
      </w:pPr>
      <w:r w:rsidRPr="009926E6">
        <w:rPr>
          <w:rFonts w:ascii="Times New Roman" w:hAnsi="Times New Roman" w:cs="Times New Roman"/>
          <w:sz w:val="24"/>
          <w:szCs w:val="24"/>
          <w:lang w:val="en-US"/>
        </w:rPr>
        <w:t>O</w:t>
      </w:r>
      <w:r w:rsidR="004B4BC1">
        <w:rPr>
          <w:rFonts w:ascii="Times New Roman" w:hAnsi="Times New Roman" w:cs="Times New Roman"/>
          <w:sz w:val="24"/>
          <w:szCs w:val="24"/>
          <w:lang w:val="en-US"/>
        </w:rPr>
        <w:t>’</w:t>
      </w:r>
      <w:r w:rsidRPr="009926E6">
        <w:rPr>
          <w:rFonts w:ascii="Times New Roman" w:hAnsi="Times New Roman" w:cs="Times New Roman"/>
          <w:sz w:val="24"/>
          <w:szCs w:val="24"/>
          <w:lang w:val="en-US"/>
        </w:rPr>
        <w:t>Hagan, A., &amp; Banham, R. B. (2018). A review of fingerprint recovery within an arson crime scene. </w:t>
      </w:r>
      <w:r w:rsidRPr="009926E6">
        <w:rPr>
          <w:rFonts w:ascii="Times New Roman" w:hAnsi="Times New Roman" w:cs="Times New Roman"/>
          <w:i/>
          <w:iCs/>
          <w:sz w:val="24"/>
          <w:szCs w:val="24"/>
          <w:lang w:val="en-US"/>
        </w:rPr>
        <w:t>Forensic Research &amp; Criminology International Journal</w:t>
      </w:r>
      <w:r w:rsidRPr="009926E6">
        <w:rPr>
          <w:rFonts w:ascii="Times New Roman" w:hAnsi="Times New Roman" w:cs="Times New Roman"/>
          <w:sz w:val="24"/>
          <w:szCs w:val="24"/>
          <w:lang w:val="en-US"/>
        </w:rPr>
        <w:t>, </w:t>
      </w:r>
      <w:r w:rsidRPr="009926E6">
        <w:rPr>
          <w:rFonts w:ascii="Times New Roman" w:hAnsi="Times New Roman" w:cs="Times New Roman"/>
          <w:i/>
          <w:iCs/>
          <w:sz w:val="24"/>
          <w:szCs w:val="24"/>
          <w:lang w:val="en-US"/>
        </w:rPr>
        <w:t>6</w:t>
      </w:r>
      <w:r w:rsidRPr="009926E6">
        <w:rPr>
          <w:rFonts w:ascii="Times New Roman" w:hAnsi="Times New Roman" w:cs="Times New Roman"/>
          <w:sz w:val="24"/>
          <w:szCs w:val="24"/>
          <w:lang w:val="en-US"/>
        </w:rPr>
        <w:t>(5), 315-325.</w:t>
      </w:r>
    </w:p>
    <w:p w14:paraId="2F2B5EE5" w14:textId="77777777" w:rsidR="00E41EFB" w:rsidRPr="009926E6" w:rsidRDefault="00E41EFB" w:rsidP="00F77FD6">
      <w:pPr>
        <w:spacing w:line="480" w:lineRule="auto"/>
        <w:ind w:left="720" w:hanging="720"/>
        <w:rPr>
          <w:rFonts w:ascii="Times New Roman" w:hAnsi="Times New Roman" w:cs="Times New Roman"/>
          <w:sz w:val="24"/>
          <w:szCs w:val="24"/>
          <w:lang w:val="en-US"/>
        </w:rPr>
      </w:pPr>
      <w:r w:rsidRPr="009926E6">
        <w:rPr>
          <w:rFonts w:ascii="Times New Roman" w:hAnsi="Times New Roman" w:cs="Times New Roman"/>
          <w:sz w:val="24"/>
          <w:szCs w:val="24"/>
          <w:lang w:val="en-US"/>
        </w:rPr>
        <w:t>Petherick, W., &amp; Brooks, N. (2020). Reframing criminal profiling: a guide for integrated practice. </w:t>
      </w:r>
      <w:r w:rsidRPr="009926E6">
        <w:rPr>
          <w:rFonts w:ascii="Times New Roman" w:hAnsi="Times New Roman" w:cs="Times New Roman"/>
          <w:i/>
          <w:iCs/>
          <w:sz w:val="24"/>
          <w:szCs w:val="24"/>
          <w:lang w:val="en-US"/>
        </w:rPr>
        <w:t>Psychiatry, Psychology and Law</w:t>
      </w:r>
      <w:r w:rsidRPr="009926E6">
        <w:rPr>
          <w:rFonts w:ascii="Times New Roman" w:hAnsi="Times New Roman" w:cs="Times New Roman"/>
          <w:sz w:val="24"/>
          <w:szCs w:val="24"/>
          <w:lang w:val="en-US"/>
        </w:rPr>
        <w:t>, 1-17.</w:t>
      </w:r>
    </w:p>
    <w:sectPr w:rsidR="00E41EFB" w:rsidRPr="009926E6" w:rsidSect="00665C1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C35704" w14:textId="77777777" w:rsidR="00726A53" w:rsidRDefault="00726A53" w:rsidP="00665C16">
      <w:pPr>
        <w:spacing w:after="0" w:line="240" w:lineRule="auto"/>
      </w:pPr>
      <w:r>
        <w:separator/>
      </w:r>
    </w:p>
  </w:endnote>
  <w:endnote w:type="continuationSeparator" w:id="0">
    <w:p w14:paraId="311A1FBF" w14:textId="77777777" w:rsidR="00726A53" w:rsidRDefault="00726A53" w:rsidP="00665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C72DAF" w14:textId="77777777" w:rsidR="00726A53" w:rsidRDefault="00726A53" w:rsidP="00665C16">
      <w:pPr>
        <w:spacing w:after="0" w:line="240" w:lineRule="auto"/>
      </w:pPr>
      <w:r>
        <w:separator/>
      </w:r>
    </w:p>
  </w:footnote>
  <w:footnote w:type="continuationSeparator" w:id="0">
    <w:p w14:paraId="3DB37C14" w14:textId="77777777" w:rsidR="00726A53" w:rsidRDefault="00726A53" w:rsidP="00665C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120256612"/>
      <w:docPartObj>
        <w:docPartGallery w:val="Page Numbers (Top of Page)"/>
        <w:docPartUnique/>
      </w:docPartObj>
    </w:sdtPr>
    <w:sdtEndPr>
      <w:rPr>
        <w:noProof/>
      </w:rPr>
    </w:sdtEndPr>
    <w:sdtContent>
      <w:p w14:paraId="6852BCE3" w14:textId="0309085B" w:rsidR="00665C16" w:rsidRPr="00665C16" w:rsidRDefault="00665C16" w:rsidP="00665C16">
        <w:pPr>
          <w:pStyle w:val="Header"/>
          <w:jc w:val="right"/>
          <w:rPr>
            <w:rFonts w:ascii="Times New Roman" w:hAnsi="Times New Roman" w:cs="Times New Roman"/>
          </w:rPr>
        </w:pPr>
        <w:r w:rsidRPr="00665C16">
          <w:rPr>
            <w:rFonts w:ascii="Times New Roman" w:hAnsi="Times New Roman" w:cs="Times New Roman"/>
            <w:bCs/>
            <w:lang w:val="en-US"/>
          </w:rPr>
          <w:t>DEDUCTIVE VS. INDUCTIVE CRIMINAL PROFILING AND LOCARD'S PRINCIPLE</w:t>
        </w:r>
        <w:r>
          <w:rPr>
            <w:rFonts w:ascii="Times New Roman" w:hAnsi="Times New Roman" w:cs="Times New Roman"/>
          </w:rPr>
          <w:tab/>
        </w:r>
        <w:r w:rsidRPr="00665C16">
          <w:rPr>
            <w:rFonts w:ascii="Times New Roman" w:hAnsi="Times New Roman" w:cs="Times New Roman"/>
          </w:rPr>
          <w:fldChar w:fldCharType="begin"/>
        </w:r>
        <w:r w:rsidRPr="00665C16">
          <w:rPr>
            <w:rFonts w:ascii="Times New Roman" w:hAnsi="Times New Roman" w:cs="Times New Roman"/>
          </w:rPr>
          <w:instrText xml:space="preserve"> PAGE   \* MERGEFORMAT </w:instrText>
        </w:r>
        <w:r w:rsidRPr="00665C16">
          <w:rPr>
            <w:rFonts w:ascii="Times New Roman" w:hAnsi="Times New Roman" w:cs="Times New Roman"/>
          </w:rPr>
          <w:fldChar w:fldCharType="separate"/>
        </w:r>
        <w:r w:rsidRPr="00665C16">
          <w:rPr>
            <w:rFonts w:ascii="Times New Roman" w:hAnsi="Times New Roman" w:cs="Times New Roman"/>
            <w:noProof/>
          </w:rPr>
          <w:t>2</w:t>
        </w:r>
        <w:r w:rsidRPr="00665C1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10522642"/>
      <w:docPartObj>
        <w:docPartGallery w:val="Page Numbers (Top of Page)"/>
        <w:docPartUnique/>
      </w:docPartObj>
    </w:sdtPr>
    <w:sdtEndPr>
      <w:rPr>
        <w:noProof/>
      </w:rPr>
    </w:sdtEndPr>
    <w:sdtContent>
      <w:p w14:paraId="5BF2BEF2" w14:textId="5F40B69F" w:rsidR="00665C16" w:rsidRPr="00665C16" w:rsidRDefault="00665C16" w:rsidP="00665C16">
        <w:pPr>
          <w:pStyle w:val="Header"/>
          <w:jc w:val="right"/>
          <w:rPr>
            <w:rFonts w:ascii="Times New Roman" w:hAnsi="Times New Roman" w:cs="Times New Roman"/>
            <w:sz w:val="20"/>
            <w:szCs w:val="20"/>
          </w:rPr>
        </w:pPr>
        <w:r w:rsidRPr="00665C16">
          <w:rPr>
            <w:rFonts w:ascii="Times New Roman" w:hAnsi="Times New Roman" w:cs="Times New Roman"/>
            <w:sz w:val="20"/>
            <w:szCs w:val="20"/>
            <w:lang w:val="en-US"/>
          </w:rPr>
          <w:t xml:space="preserve">Running head: </w:t>
        </w:r>
        <w:r w:rsidRPr="00665C16">
          <w:rPr>
            <w:rFonts w:ascii="Times New Roman" w:hAnsi="Times New Roman" w:cs="Times New Roman"/>
            <w:bCs/>
            <w:sz w:val="20"/>
            <w:szCs w:val="20"/>
            <w:lang w:val="en-US"/>
          </w:rPr>
          <w:t>DEDUCTIVE VS. INDUCTIVE CRIMINAL PROFILING AND LOCARD'S PRINCIPLE</w:t>
        </w:r>
        <w:r>
          <w:rPr>
            <w:rFonts w:ascii="Times New Roman" w:hAnsi="Times New Roman" w:cs="Times New Roman"/>
            <w:sz w:val="20"/>
            <w:szCs w:val="20"/>
          </w:rPr>
          <w:tab/>
        </w:r>
        <w:r w:rsidRPr="00665C16">
          <w:rPr>
            <w:rFonts w:ascii="Times New Roman" w:hAnsi="Times New Roman" w:cs="Times New Roman"/>
            <w:sz w:val="20"/>
            <w:szCs w:val="20"/>
          </w:rPr>
          <w:fldChar w:fldCharType="begin"/>
        </w:r>
        <w:r w:rsidRPr="00665C16">
          <w:rPr>
            <w:rFonts w:ascii="Times New Roman" w:hAnsi="Times New Roman" w:cs="Times New Roman"/>
            <w:sz w:val="20"/>
            <w:szCs w:val="20"/>
          </w:rPr>
          <w:instrText xml:space="preserve"> PAGE   \* MERGEFORMAT </w:instrText>
        </w:r>
        <w:r w:rsidRPr="00665C16">
          <w:rPr>
            <w:rFonts w:ascii="Times New Roman" w:hAnsi="Times New Roman" w:cs="Times New Roman"/>
            <w:sz w:val="20"/>
            <w:szCs w:val="20"/>
          </w:rPr>
          <w:fldChar w:fldCharType="separate"/>
        </w:r>
        <w:r w:rsidRPr="00665C16">
          <w:rPr>
            <w:rFonts w:ascii="Times New Roman" w:hAnsi="Times New Roman" w:cs="Times New Roman"/>
            <w:noProof/>
            <w:sz w:val="20"/>
            <w:szCs w:val="20"/>
          </w:rPr>
          <w:t>2</w:t>
        </w:r>
        <w:r w:rsidRPr="00665C16">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WwMDU2NDMzNTQwNzRU0lEKTi0uzszPAykwqgUAJcz5SCwAAAA="/>
  </w:docVars>
  <w:rsids>
    <w:rsidRoot w:val="009926E6"/>
    <w:rsid w:val="00272F39"/>
    <w:rsid w:val="0035156F"/>
    <w:rsid w:val="003F190F"/>
    <w:rsid w:val="004B4BC1"/>
    <w:rsid w:val="00665C16"/>
    <w:rsid w:val="00726A53"/>
    <w:rsid w:val="009926E6"/>
    <w:rsid w:val="00B1283C"/>
    <w:rsid w:val="00BB188D"/>
    <w:rsid w:val="00CD20AA"/>
    <w:rsid w:val="00D22FC7"/>
    <w:rsid w:val="00E41EFB"/>
    <w:rsid w:val="00F77FD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C6E87"/>
  <w15:chartTrackingRefBased/>
  <w15:docId w15:val="{6CFDD707-C150-4627-9C61-3A922ACD8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5C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C16"/>
  </w:style>
  <w:style w:type="paragraph" w:styleId="Footer">
    <w:name w:val="footer"/>
    <w:basedOn w:val="Normal"/>
    <w:link w:val="FooterChar"/>
    <w:uiPriority w:val="99"/>
    <w:unhideWhenUsed/>
    <w:rsid w:val="00665C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C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807</Words>
  <Characters>4605</Characters>
  <Application>Microsoft Office Word</Application>
  <DocSecurity>0</DocSecurity>
  <Lines>38</Lines>
  <Paragraphs>10</Paragraphs>
  <ScaleCrop>false</ScaleCrop>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23</cp:revision>
  <dcterms:created xsi:type="dcterms:W3CDTF">2021-01-23T14:21:00Z</dcterms:created>
  <dcterms:modified xsi:type="dcterms:W3CDTF">2021-01-23T14:41:00Z</dcterms:modified>
</cp:coreProperties>
</file>